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3EB1" w:rsidRPr="00F76B76" w:rsidRDefault="00C82504" w:rsidP="00B43EB1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SA WG2 Meeting #128</w:t>
      </w:r>
      <w:r>
        <w:rPr>
          <w:rFonts w:ascii="Arial" w:hAnsi="Arial" w:cs="Arial"/>
          <w:b/>
          <w:bCs/>
          <w:sz w:val="24"/>
          <w:szCs w:val="24"/>
        </w:rPr>
        <w:tab/>
      </w:r>
      <w:r w:rsidR="008A3425" w:rsidRPr="008A3425">
        <w:rPr>
          <w:rFonts w:ascii="Arial" w:hAnsi="Arial" w:cs="Arial"/>
          <w:b/>
          <w:bCs/>
          <w:sz w:val="24"/>
          <w:szCs w:val="24"/>
        </w:rPr>
        <w:t>S2-</w:t>
      </w:r>
      <w:r w:rsidR="005D0B17" w:rsidRPr="008A3425">
        <w:rPr>
          <w:rFonts w:ascii="Arial" w:hAnsi="Arial" w:cs="Arial"/>
          <w:b/>
          <w:bCs/>
          <w:sz w:val="24"/>
          <w:szCs w:val="24"/>
        </w:rPr>
        <w:t>18</w:t>
      </w:r>
      <w:r w:rsidR="005D0B17">
        <w:rPr>
          <w:rFonts w:ascii="Arial" w:hAnsi="Arial" w:cs="Arial"/>
          <w:b/>
          <w:bCs/>
          <w:sz w:val="24"/>
          <w:szCs w:val="24"/>
        </w:rPr>
        <w:t>7154</w:t>
      </w:r>
    </w:p>
    <w:p w:rsidR="00B43EB1" w:rsidRPr="00F76B76" w:rsidRDefault="00B43EB1" w:rsidP="00B43EB1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2-6 July 2018, Vilnius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641D85">
        <w:rPr>
          <w:rFonts w:ascii="Arial" w:hAnsi="Arial" w:cs="Arial"/>
          <w:b/>
        </w:rPr>
        <w:t>Thales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2E32DC">
        <w:rPr>
          <w:rFonts w:ascii="Arial" w:hAnsi="Arial" w:cs="Arial"/>
          <w:b/>
        </w:rPr>
        <w:t>Reference Satellite Integration Architectures</w:t>
      </w:r>
      <w:r w:rsidR="00641D85" w:rsidRPr="00641D85">
        <w:rPr>
          <w:rFonts w:ascii="Arial" w:hAnsi="Arial" w:cs="Arial"/>
          <w:b/>
        </w:rPr>
        <w:t xml:space="preserve"> </w:t>
      </w:r>
      <w:r w:rsidR="004F41E5">
        <w:rPr>
          <w:rFonts w:ascii="Arial" w:hAnsi="Arial" w:cs="Arial"/>
          <w:b/>
        </w:rPr>
        <w:t xml:space="preserve">for </w:t>
      </w:r>
      <w:r w:rsidR="00641D85">
        <w:rPr>
          <w:rFonts w:ascii="Arial" w:hAnsi="Arial" w:cs="Arial"/>
          <w:b/>
        </w:rPr>
        <w:t>FS_5GSAT_ARCH</w:t>
      </w:r>
      <w:r w:rsidR="00C36680">
        <w:rPr>
          <w:rFonts w:ascii="Arial" w:hAnsi="Arial" w:cs="Arial"/>
          <w:b/>
        </w:rPr>
        <w:t xml:space="preserve"> </w:t>
      </w:r>
      <w:r w:rsidR="00641D85" w:rsidRPr="00641D85">
        <w:rPr>
          <w:rFonts w:ascii="Arial" w:hAnsi="Arial" w:cs="Arial"/>
          <w:b/>
        </w:rPr>
        <w:t>TR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Pr="00592545">
        <w:rPr>
          <w:rFonts w:ascii="Arial" w:hAnsi="Arial" w:cs="Arial"/>
          <w:b/>
        </w:rPr>
        <w:t>6.</w:t>
      </w:r>
      <w:r w:rsidR="005B5965">
        <w:rPr>
          <w:rFonts w:ascii="Arial" w:hAnsi="Arial" w:cs="Arial"/>
          <w:b/>
        </w:rPr>
        <w:t>24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5B5965">
        <w:rPr>
          <w:rFonts w:ascii="Arial" w:hAnsi="Arial" w:cs="Arial"/>
          <w:b/>
        </w:rPr>
        <w:t>FS_5GSAT_ARCH</w:t>
      </w:r>
      <w:r>
        <w:rPr>
          <w:rFonts w:ascii="Arial" w:hAnsi="Arial" w:cs="Arial"/>
          <w:b/>
        </w:rPr>
        <w:t>/Rel-16</w:t>
      </w:r>
    </w:p>
    <w:p w:rsidR="00B43EB1" w:rsidRDefault="00B43EB1" w:rsidP="00B43EB1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This contribution proposes </w:t>
      </w:r>
      <w:r w:rsidR="00C36680">
        <w:rPr>
          <w:rFonts w:ascii="Arial" w:hAnsi="Arial" w:cs="Arial"/>
          <w:i/>
        </w:rPr>
        <w:t xml:space="preserve">a sub-clause on </w:t>
      </w:r>
      <w:r w:rsidR="002E32DC">
        <w:rPr>
          <w:rFonts w:ascii="Arial" w:hAnsi="Arial" w:cs="Arial"/>
          <w:i/>
        </w:rPr>
        <w:t>the reference satellite integration architectures</w:t>
      </w:r>
      <w:r w:rsidR="00C36680">
        <w:rPr>
          <w:rFonts w:ascii="Arial" w:hAnsi="Arial" w:cs="Arial"/>
          <w:i/>
        </w:rPr>
        <w:t xml:space="preserve"> to be </w:t>
      </w:r>
      <w:r w:rsidR="002E32DC">
        <w:rPr>
          <w:rFonts w:ascii="Arial" w:hAnsi="Arial" w:cs="Arial"/>
          <w:i/>
        </w:rPr>
        <w:t xml:space="preserve">included </w:t>
      </w:r>
      <w:r w:rsidR="00C36680">
        <w:rPr>
          <w:rFonts w:ascii="Arial" w:hAnsi="Arial" w:cs="Arial"/>
          <w:i/>
        </w:rPr>
        <w:t>in</w:t>
      </w:r>
      <w:r w:rsidRPr="00B43EB1">
        <w:rPr>
          <w:rFonts w:ascii="Arial" w:hAnsi="Arial" w:cs="Arial"/>
          <w:i/>
        </w:rPr>
        <w:t xml:space="preserve"> </w:t>
      </w:r>
      <w:r w:rsidR="00C36680">
        <w:rPr>
          <w:rFonts w:ascii="Arial" w:hAnsi="Arial" w:cs="Arial"/>
          <w:i/>
        </w:rPr>
        <w:t xml:space="preserve">TR </w:t>
      </w:r>
      <w:r w:rsidR="005B5965">
        <w:rPr>
          <w:rFonts w:ascii="Arial" w:hAnsi="Arial" w:cs="Arial"/>
          <w:i/>
        </w:rPr>
        <w:t>FS_5GSAT_ARCH</w:t>
      </w:r>
      <w:r>
        <w:rPr>
          <w:rFonts w:ascii="Arial" w:hAnsi="Arial" w:cs="Arial"/>
          <w:i/>
        </w:rPr>
        <w:t>.</w:t>
      </w:r>
    </w:p>
    <w:p w:rsidR="006C291C" w:rsidRDefault="00AF273C" w:rsidP="006C291C">
      <w:pPr>
        <w:pStyle w:val="Titre1"/>
        <w:numPr>
          <w:ilvl w:val="0"/>
          <w:numId w:val="3"/>
        </w:numPr>
        <w:rPr>
          <w:lang w:eastAsia="zh-CN"/>
        </w:rPr>
      </w:pPr>
      <w:r>
        <w:t xml:space="preserve"> </w:t>
      </w:r>
      <w:r w:rsidR="006C291C">
        <w:rPr>
          <w:lang w:eastAsia="zh-CN"/>
        </w:rPr>
        <w:t>Proposal</w:t>
      </w:r>
    </w:p>
    <w:p w:rsidR="006C291C" w:rsidRDefault="00C36680" w:rsidP="006C291C">
      <w:pPr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6C291C" w:rsidRPr="00E121D3">
        <w:rPr>
          <w:rFonts w:ascii="Arial" w:hAnsi="Arial" w:cs="Arial"/>
        </w:rPr>
        <w:t xml:space="preserve">his contribution proposes </w:t>
      </w:r>
      <w:r>
        <w:rPr>
          <w:rFonts w:ascii="Arial" w:hAnsi="Arial" w:cs="Arial"/>
        </w:rPr>
        <w:t xml:space="preserve">for a sub-clause on the </w:t>
      </w:r>
      <w:r w:rsidR="002E32DC">
        <w:rPr>
          <w:rFonts w:ascii="Arial" w:hAnsi="Arial" w:cs="Arial"/>
        </w:rPr>
        <w:t>reference integration satellite architecture</w:t>
      </w:r>
      <w:r w:rsidR="005243D6">
        <w:rPr>
          <w:rFonts w:ascii="Arial" w:hAnsi="Arial" w:cs="Arial"/>
        </w:rPr>
        <w:t xml:space="preserve"> scenario</w:t>
      </w:r>
      <w:r w:rsidR="00674DFD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for TR</w:t>
      </w:r>
      <w:r w:rsidR="006C291C" w:rsidRPr="00E121D3">
        <w:rPr>
          <w:rFonts w:ascii="Arial" w:hAnsi="Arial" w:cs="Arial"/>
        </w:rPr>
        <w:t xml:space="preserve"> </w:t>
      </w:r>
      <w:r w:rsidR="006C291C">
        <w:rPr>
          <w:rFonts w:ascii="Arial" w:hAnsi="Arial" w:cs="Arial"/>
          <w:b/>
        </w:rPr>
        <w:t>FS_5GSAT_ARCH</w:t>
      </w:r>
      <w:r w:rsidR="006C291C" w:rsidRPr="00E121D3">
        <w:rPr>
          <w:rFonts w:ascii="Arial" w:hAnsi="Arial" w:cs="Arial"/>
        </w:rPr>
        <w:t>.</w:t>
      </w: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>* * * Start of changes * * * *</w:t>
      </w:r>
    </w:p>
    <w:p w:rsidR="00D97E93" w:rsidRDefault="00D97E93" w:rsidP="00D97E93">
      <w:pPr>
        <w:pStyle w:val="Titre1"/>
        <w:rPr>
          <w:lang w:eastAsia="zh-CN"/>
        </w:rPr>
      </w:pPr>
      <w:bookmarkStart w:id="0" w:name="_Toc466352937"/>
      <w:bookmarkStart w:id="1" w:name="_Toc496418252"/>
      <w:bookmarkStart w:id="2" w:name="_Toc497790730"/>
      <w:bookmarkStart w:id="3" w:name="_Toc497790751"/>
      <w:bookmarkStart w:id="4" w:name="_Toc250980585"/>
      <w:bookmarkStart w:id="5" w:name="_Toc326037252"/>
      <w:bookmarkStart w:id="6" w:name="_Toc510604401"/>
      <w:r>
        <w:t>4</w:t>
      </w:r>
      <w:r>
        <w:tab/>
      </w:r>
      <w:bookmarkEnd w:id="0"/>
      <w:bookmarkEnd w:id="1"/>
      <w:bookmarkEnd w:id="2"/>
      <w:bookmarkEnd w:id="3"/>
      <w:r w:rsidR="00674DFD">
        <w:t xml:space="preserve">Reference Satellite </w:t>
      </w:r>
      <w:r>
        <w:t>Architectur</w:t>
      </w:r>
      <w:bookmarkEnd w:id="4"/>
      <w:bookmarkEnd w:id="5"/>
      <w:r>
        <w:t xml:space="preserve">e </w:t>
      </w:r>
      <w:bookmarkEnd w:id="6"/>
      <w:r w:rsidR="00674DFD">
        <w:rPr>
          <w:lang w:eastAsia="zh-CN"/>
        </w:rPr>
        <w:t xml:space="preserve">Scenarios </w:t>
      </w:r>
    </w:p>
    <w:p w:rsidR="008A0E0E" w:rsidRDefault="008A0E0E" w:rsidP="008A0E0E">
      <w:pPr>
        <w:pStyle w:val="Titre2"/>
        <w:rPr>
          <w:lang w:eastAsia="ko-KR"/>
        </w:rPr>
      </w:pPr>
      <w:r>
        <w:rPr>
          <w:lang w:eastAsia="ko-KR"/>
        </w:rPr>
        <w:t>4.1</w:t>
      </w:r>
      <w:r>
        <w:rPr>
          <w:lang w:eastAsia="ko-KR"/>
        </w:rPr>
        <w:tab/>
        <w:t>Elementary satellite network architecture</w:t>
      </w:r>
    </w:p>
    <w:p w:rsidR="009A29F4" w:rsidRDefault="00674DFD" w:rsidP="00B50D7A">
      <w:pPr>
        <w:rPr>
          <w:lang w:eastAsia="ko-KR"/>
        </w:rPr>
      </w:pPr>
      <w:r>
        <w:rPr>
          <w:lang w:eastAsia="ko-KR"/>
        </w:rPr>
        <w:t>The physical implementation a satellite network architecture can always be sketched as displayed in the following figure:</w:t>
      </w:r>
    </w:p>
    <w:p w:rsidR="00674DFD" w:rsidRDefault="00674DFD" w:rsidP="00674DFD">
      <w:pPr>
        <w:pStyle w:val="TF"/>
      </w:pPr>
      <w:r>
        <w:rPr>
          <w:noProof/>
          <w:lang w:val="fr-FR" w:eastAsia="fr-FR"/>
        </w:rPr>
        <w:drawing>
          <wp:inline distT="0" distB="0" distL="0" distR="0" wp14:anchorId="121D5C34" wp14:editId="0B66F5E9">
            <wp:extent cx="5943600" cy="1498934"/>
            <wp:effectExtent l="0" t="0" r="0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8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>Figure</w:t>
      </w:r>
      <w:r w:rsidR="008A0E0E">
        <w:t xml:space="preserve"> X: Reference </w:t>
      </w:r>
      <w:r>
        <w:t>Satellite Access Network Architecture</w:t>
      </w:r>
    </w:p>
    <w:p w:rsidR="00674DFD" w:rsidRDefault="00674DFD" w:rsidP="00B50D7A">
      <w:pPr>
        <w:rPr>
          <w:lang w:eastAsia="ja-JP"/>
        </w:rPr>
      </w:pPr>
      <w:r>
        <w:rPr>
          <w:lang w:eastAsia="ja-JP"/>
        </w:rPr>
        <w:t>A satellite network is always composed of:</w:t>
      </w:r>
    </w:p>
    <w:p w:rsidR="00674DFD" w:rsidRDefault="00674DFD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>One, or more, satellite(s), embarking a telecommunication payload</w:t>
      </w:r>
    </w:p>
    <w:p w:rsidR="00674DFD" w:rsidRDefault="00E465C4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 xml:space="preserve">Satellite enable UE’s, such as IoT devices, broadband vehicular or fixed terminals, </w:t>
      </w:r>
    </w:p>
    <w:p w:rsidR="00E465C4" w:rsidRDefault="00E465C4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>A Hub, including a RF Earth station, and a data centre including (co-located or not) RAN and CN related functions. The hub is also interconnected to (a) data network(s).</w:t>
      </w:r>
    </w:p>
    <w:p w:rsidR="00E465C4" w:rsidRDefault="00E465C4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 xml:space="preserve">UE’s interconnects to the hub through the satellite. </w:t>
      </w:r>
    </w:p>
    <w:p w:rsidR="00E465C4" w:rsidRDefault="00E465C4" w:rsidP="00E465C4">
      <w:pPr>
        <w:rPr>
          <w:lang w:eastAsia="ja-JP"/>
        </w:rPr>
      </w:pPr>
    </w:p>
    <w:p w:rsidR="008A0E0E" w:rsidRDefault="008A0E0E" w:rsidP="008A0E0E">
      <w:pPr>
        <w:pStyle w:val="Titre2"/>
        <w:rPr>
          <w:lang w:eastAsia="ja-JP"/>
        </w:rPr>
      </w:pPr>
      <w:r w:rsidRPr="008A0E0E">
        <w:t>4.2</w:t>
      </w:r>
      <w:r>
        <w:tab/>
      </w:r>
      <w:r w:rsidRPr="008A0E0E">
        <w:t xml:space="preserve">Reference architecture </w:t>
      </w:r>
      <w:r>
        <w:t xml:space="preserve">with </w:t>
      </w:r>
      <w:r>
        <w:rPr>
          <w:lang w:eastAsia="ja-JP"/>
        </w:rPr>
        <w:t xml:space="preserve">satellite enabled NR-RAN </w:t>
      </w:r>
    </w:p>
    <w:p w:rsidR="008A0E0E" w:rsidRDefault="008A0E0E" w:rsidP="00E465C4">
      <w:pPr>
        <w:rPr>
          <w:lang w:eastAsia="ja-JP"/>
        </w:rPr>
      </w:pPr>
      <w:r>
        <w:rPr>
          <w:lang w:eastAsia="ja-JP"/>
        </w:rPr>
        <w:t>The following figure depicts a reference for a direct access with a satellite NR-RAN</w:t>
      </w:r>
    </w:p>
    <w:p w:rsidR="008A0E0E" w:rsidRDefault="008A0E0E" w:rsidP="00280798">
      <w:pPr>
        <w:jc w:val="center"/>
        <w:rPr>
          <w:lang w:eastAsia="ja-JP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0F0BE369" wp14:editId="561FF382">
            <wp:extent cx="5038725" cy="70697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227" cy="706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0E0E" w:rsidRDefault="008A0E0E" w:rsidP="008A0E0E">
      <w:pPr>
        <w:pStyle w:val="TF"/>
      </w:pPr>
      <w:r>
        <w:t xml:space="preserve">Figure X: 5GS with Satellite enabled NR-RAN </w:t>
      </w:r>
    </w:p>
    <w:p w:rsidR="008A0E0E" w:rsidRDefault="000F5369" w:rsidP="00E465C4">
      <w:pPr>
        <w:rPr>
          <w:lang w:eastAsia="ja-JP"/>
        </w:rPr>
      </w:pPr>
      <w:r>
        <w:rPr>
          <w:lang w:eastAsia="ja-JP"/>
        </w:rPr>
        <w:t>Knowing the possible nature of satellite payloads (transparent or re-generative), t</w:t>
      </w:r>
      <w:r w:rsidR="008A0E0E">
        <w:rPr>
          <w:lang w:eastAsia="ja-JP"/>
        </w:rPr>
        <w:t xml:space="preserve">he instantiation of this architecture can have several forms: </w:t>
      </w:r>
    </w:p>
    <w:p w:rsidR="00CB67F7" w:rsidRDefault="00CB67F7" w:rsidP="00E465C4">
      <w:pPr>
        <w:rPr>
          <w:lang w:eastAsia="ja-JP"/>
        </w:rPr>
      </w:pPr>
      <w:r>
        <w:rPr>
          <w:lang w:eastAsia="ja-JP"/>
        </w:rPr>
        <w:t xml:space="preserve">In a first implementation, the satellite </w:t>
      </w:r>
      <w:r w:rsidR="00264928">
        <w:rPr>
          <w:lang w:eastAsia="ja-JP"/>
        </w:rPr>
        <w:t xml:space="preserve">is </w:t>
      </w:r>
      <w:r>
        <w:rPr>
          <w:lang w:eastAsia="ja-JP"/>
        </w:rPr>
        <w:t xml:space="preserve">transparent, the NR signals are generated from </w:t>
      </w:r>
      <w:proofErr w:type="spellStart"/>
      <w:r>
        <w:rPr>
          <w:lang w:eastAsia="ja-JP"/>
        </w:rPr>
        <w:t>gNB’s</w:t>
      </w:r>
      <w:proofErr w:type="spellEnd"/>
      <w:r>
        <w:rPr>
          <w:lang w:eastAsia="ja-JP"/>
        </w:rPr>
        <w:t xml:space="preserve"> that are located on ground. The satellite is equivalent to a Radio Frequency (RF) Remote Unit, and is full transparent to the New Radio protocols, including the physical </w:t>
      </w:r>
      <w:r w:rsidR="00264928">
        <w:rPr>
          <w:lang w:eastAsia="ja-JP"/>
        </w:rPr>
        <w:t>l</w:t>
      </w:r>
      <w:r>
        <w:rPr>
          <w:lang w:eastAsia="ja-JP"/>
        </w:rPr>
        <w:t>ayer.</w:t>
      </w:r>
    </w:p>
    <w:p w:rsidR="00134A40" w:rsidRDefault="00134A40" w:rsidP="00E465C4">
      <w:pPr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417D7564" wp14:editId="050D5DEA">
            <wp:extent cx="6429375" cy="1022734"/>
            <wp:effectExtent l="0" t="0" r="0" b="63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12" cy="102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>Figure X: 5GS with transparent satellite enabled NR-RAN</w:t>
      </w:r>
    </w:p>
    <w:p w:rsidR="00CB67F7" w:rsidRDefault="00CB67F7" w:rsidP="00CB67F7">
      <w:pPr>
        <w:pStyle w:val="TF"/>
        <w:jc w:val="left"/>
        <w:rPr>
          <w:b w:val="0"/>
          <w:lang w:eastAsia="ja-JP"/>
        </w:rPr>
      </w:pPr>
      <w:r w:rsidRPr="00CB67F7">
        <w:rPr>
          <w:b w:val="0"/>
          <w:lang w:eastAsia="ja-JP"/>
        </w:rPr>
        <w:t>In a second</w:t>
      </w:r>
      <w:r>
        <w:rPr>
          <w:b w:val="0"/>
          <w:lang w:eastAsia="ja-JP"/>
        </w:rPr>
        <w:t xml:space="preserve"> implementation, the satellite is regenerative. The satellite payload implements a </w:t>
      </w:r>
      <w:proofErr w:type="spellStart"/>
      <w:r>
        <w:rPr>
          <w:b w:val="0"/>
          <w:lang w:eastAsia="ja-JP"/>
        </w:rPr>
        <w:t>gNB</w:t>
      </w:r>
      <w:proofErr w:type="spellEnd"/>
      <w:r>
        <w:rPr>
          <w:b w:val="0"/>
          <w:lang w:eastAsia="ja-JP"/>
        </w:rPr>
        <w:t>-DU from the point of view of the NR-RAN functionalities. Some of the protocols of the NR are processed by the satellite. A Satellite Radio Interface (SRI) transports the F1 protocol between the on-ground CU and the on-board DU (it can be the NR).</w:t>
      </w:r>
    </w:p>
    <w:p w:rsidR="00134A40" w:rsidRPr="00CB67F7" w:rsidRDefault="00134A40" w:rsidP="00CB67F7">
      <w:pPr>
        <w:pStyle w:val="TF"/>
        <w:jc w:val="left"/>
        <w:rPr>
          <w:b w:val="0"/>
          <w:lang w:eastAsia="ja-JP"/>
        </w:rPr>
      </w:pPr>
      <w:r w:rsidRPr="002600E7">
        <w:rPr>
          <w:b w:val="0"/>
          <w:noProof/>
          <w:lang w:val="fr-FR" w:eastAsia="fr-FR"/>
        </w:rPr>
        <w:drawing>
          <wp:inline distT="0" distB="0" distL="0" distR="0" wp14:anchorId="335071CC" wp14:editId="302A5C1A">
            <wp:extent cx="6429375" cy="1021886"/>
            <wp:effectExtent l="0" t="0" r="0" b="698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037" cy="1022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X: 5GS with regenerative satellite enabled NR-RAN and distributed </w:t>
      </w:r>
      <w:proofErr w:type="spellStart"/>
      <w:r>
        <w:rPr>
          <w:lang w:eastAsia="ja-JP"/>
        </w:rPr>
        <w:t>gNB</w:t>
      </w:r>
      <w:proofErr w:type="spellEnd"/>
    </w:p>
    <w:p w:rsidR="00B0021F" w:rsidRPr="00CB67F7" w:rsidRDefault="00CB67F7" w:rsidP="00B0021F">
      <w:pPr>
        <w:pStyle w:val="TF"/>
        <w:jc w:val="left"/>
        <w:rPr>
          <w:b w:val="0"/>
          <w:lang w:eastAsia="ja-JP"/>
        </w:rPr>
      </w:pPr>
      <w:r w:rsidRPr="00CB67F7">
        <w:rPr>
          <w:b w:val="0"/>
          <w:lang w:eastAsia="ja-JP"/>
        </w:rPr>
        <w:t xml:space="preserve">In a third implementation, the satellite is regenerative. The satellite payload implements a full </w:t>
      </w:r>
      <w:proofErr w:type="spellStart"/>
      <w:r w:rsidRPr="00CB67F7">
        <w:rPr>
          <w:b w:val="0"/>
          <w:lang w:eastAsia="ja-JP"/>
        </w:rPr>
        <w:t>gNB</w:t>
      </w:r>
      <w:proofErr w:type="spellEnd"/>
      <w:r w:rsidR="00B0021F">
        <w:rPr>
          <w:b w:val="0"/>
          <w:lang w:eastAsia="ja-JP"/>
        </w:rPr>
        <w:t>. A Satellite Radio Interface (SRI) transports the N1/N2/N3 interface</w:t>
      </w:r>
      <w:r w:rsidR="000D0B35">
        <w:rPr>
          <w:b w:val="0"/>
          <w:lang w:eastAsia="ja-JP"/>
        </w:rPr>
        <w:t>s</w:t>
      </w:r>
      <w:r w:rsidR="00B0021F">
        <w:rPr>
          <w:b w:val="0"/>
          <w:lang w:eastAsia="ja-JP"/>
        </w:rPr>
        <w:t xml:space="preserve"> between the on-ground 5G CN and the </w:t>
      </w:r>
      <w:r w:rsidR="00280798">
        <w:rPr>
          <w:b w:val="0"/>
          <w:lang w:eastAsia="ja-JP"/>
        </w:rPr>
        <w:t xml:space="preserve">on-board </w:t>
      </w:r>
      <w:proofErr w:type="spellStart"/>
      <w:r w:rsidR="00280798">
        <w:rPr>
          <w:b w:val="0"/>
          <w:lang w:eastAsia="ja-JP"/>
        </w:rPr>
        <w:t>gNB</w:t>
      </w:r>
      <w:proofErr w:type="spellEnd"/>
      <w:r w:rsidR="00280798">
        <w:rPr>
          <w:b w:val="0"/>
          <w:lang w:eastAsia="ja-JP"/>
        </w:rPr>
        <w:t>-</w:t>
      </w:r>
      <w:r w:rsidR="00425747">
        <w:rPr>
          <w:b w:val="0"/>
          <w:lang w:eastAsia="ja-JP"/>
        </w:rPr>
        <w:t>CU</w:t>
      </w:r>
      <w:r w:rsidR="00B0021F">
        <w:rPr>
          <w:b w:val="0"/>
          <w:lang w:eastAsia="ja-JP"/>
        </w:rPr>
        <w:t>.</w:t>
      </w:r>
    </w:p>
    <w:p w:rsidR="00CB67F7" w:rsidRPr="00CB67F7" w:rsidRDefault="00280798" w:rsidP="00CB67F7">
      <w:pPr>
        <w:pStyle w:val="TF"/>
        <w:jc w:val="left"/>
        <w:rPr>
          <w:b w:val="0"/>
          <w:lang w:eastAsia="ja-JP"/>
        </w:rPr>
      </w:pPr>
      <w:r w:rsidRPr="002600E7">
        <w:rPr>
          <w:b w:val="0"/>
          <w:noProof/>
          <w:lang w:val="fr-FR" w:eastAsia="fr-FR"/>
        </w:rPr>
        <w:drawing>
          <wp:inline distT="0" distB="0" distL="0" distR="0" wp14:anchorId="51950B72" wp14:editId="5DE50601">
            <wp:extent cx="6410325" cy="958303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980" cy="95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X: 5GS with regenerative satellite enabled NR-RAN and on-board </w:t>
      </w:r>
      <w:proofErr w:type="spellStart"/>
      <w:r>
        <w:rPr>
          <w:lang w:eastAsia="ja-JP"/>
        </w:rPr>
        <w:t>gNB</w:t>
      </w:r>
      <w:proofErr w:type="spellEnd"/>
    </w:p>
    <w:p w:rsidR="00280798" w:rsidRDefault="000F5369" w:rsidP="00E465C4">
      <w:pPr>
        <w:rPr>
          <w:lang w:eastAsia="ja-JP"/>
        </w:rPr>
      </w:pPr>
      <w:r>
        <w:rPr>
          <w:lang w:eastAsia="ja-JP"/>
        </w:rPr>
        <w:t>One can note that with a regenerative implementation</w:t>
      </w:r>
      <w:r w:rsidR="00264928">
        <w:rPr>
          <w:lang w:eastAsia="ja-JP"/>
        </w:rPr>
        <w:t xml:space="preserve"> </w:t>
      </w:r>
      <w:r w:rsidR="00280798">
        <w:rPr>
          <w:lang w:eastAsia="ja-JP"/>
        </w:rPr>
        <w:t>(either</w:t>
      </w:r>
      <w:r>
        <w:rPr>
          <w:lang w:eastAsia="ja-JP"/>
        </w:rPr>
        <w:t xml:space="preserve"> </w:t>
      </w:r>
      <w:r w:rsidR="00280798">
        <w:rPr>
          <w:lang w:eastAsia="ja-JP"/>
        </w:rPr>
        <w:t>with distributed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 or not) a 5GS can have a global coverage, providing a single 5G CN with global </w:t>
      </w:r>
      <w:r w:rsidR="00F2391E">
        <w:rPr>
          <w:lang w:eastAsia="ja-JP"/>
        </w:rPr>
        <w:t xml:space="preserve">or regional (continental or sub-continental) </w:t>
      </w:r>
      <w:r>
        <w:rPr>
          <w:lang w:eastAsia="ja-JP"/>
        </w:rPr>
        <w:t>coverage as well. This is valid for GEO or LEO</w:t>
      </w:r>
      <w:r w:rsidR="00280798">
        <w:rPr>
          <w:lang w:eastAsia="ja-JP"/>
        </w:rPr>
        <w:t>:</w:t>
      </w:r>
    </w:p>
    <w:p w:rsidR="00280798" w:rsidRDefault="00280798" w:rsidP="00F54C3E">
      <w:pPr>
        <w:jc w:val="center"/>
        <w:rPr>
          <w:lang w:eastAsia="ja-JP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53F81F05" wp14:editId="70CAE92A">
            <wp:extent cx="5034046" cy="2995669"/>
            <wp:effectExtent l="0" t="0" r="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720" cy="3005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798" w:rsidRDefault="00280798" w:rsidP="00280798">
      <w:pPr>
        <w:pStyle w:val="TF"/>
        <w:rPr>
          <w:lang w:eastAsia="ja-JP"/>
        </w:rPr>
      </w:pPr>
      <w:r>
        <w:rPr>
          <w:lang w:eastAsia="ja-JP"/>
        </w:rPr>
        <w:t xml:space="preserve">Figure X: 5GS with regenerative satellite enabled NR-RAN, with ISL </w:t>
      </w:r>
      <w:r w:rsidR="00F2391E">
        <w:rPr>
          <w:lang w:eastAsia="ja-JP"/>
        </w:rPr>
        <w:t>for</w:t>
      </w:r>
      <w:r>
        <w:rPr>
          <w:lang w:eastAsia="ja-JP"/>
        </w:rPr>
        <w:t xml:space="preserve"> </w:t>
      </w:r>
      <w:r w:rsidR="00F2391E">
        <w:rPr>
          <w:lang w:eastAsia="ja-JP"/>
        </w:rPr>
        <w:t xml:space="preserve">regional or </w:t>
      </w:r>
      <w:r>
        <w:rPr>
          <w:lang w:eastAsia="ja-JP"/>
        </w:rPr>
        <w:t>global coverage</w:t>
      </w:r>
    </w:p>
    <w:p w:rsidR="008A0E0E" w:rsidRDefault="00CC7C84" w:rsidP="00E465C4">
      <w:pPr>
        <w:rPr>
          <w:lang w:eastAsia="ja-JP"/>
        </w:rPr>
      </w:pPr>
      <w:r>
        <w:rPr>
          <w:lang w:eastAsia="ja-JP"/>
        </w:rPr>
        <w:t>Another configuration may consists</w:t>
      </w:r>
      <w:r w:rsidR="00503194">
        <w:rPr>
          <w:lang w:eastAsia="ja-JP"/>
        </w:rPr>
        <w:t xml:space="preserve"> </w:t>
      </w:r>
      <w:r>
        <w:rPr>
          <w:lang w:eastAsia="ja-JP"/>
        </w:rPr>
        <w:t xml:space="preserve">in satellites each embarking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, and 5G CN’s accessing these </w:t>
      </w:r>
      <w:proofErr w:type="spellStart"/>
      <w:r>
        <w:rPr>
          <w:lang w:eastAsia="ja-JP"/>
        </w:rPr>
        <w:t>gNB’s</w:t>
      </w:r>
      <w:proofErr w:type="spellEnd"/>
      <w:r>
        <w:rPr>
          <w:lang w:eastAsia="ja-JP"/>
        </w:rPr>
        <w:t>, as described in the following figure</w:t>
      </w:r>
      <w:r w:rsidR="00503194">
        <w:rPr>
          <w:lang w:eastAsia="ja-JP"/>
        </w:rPr>
        <w:t>, where specific (or not) satellite radio interfaces are used to handle control and user planes</w:t>
      </w:r>
      <w:r>
        <w:rPr>
          <w:lang w:eastAsia="ja-JP"/>
        </w:rPr>
        <w:t>:</w:t>
      </w:r>
    </w:p>
    <w:p w:rsidR="00CC7C84" w:rsidRDefault="00531357" w:rsidP="00F54C3E">
      <w:pPr>
        <w:jc w:val="center"/>
        <w:rPr>
          <w:lang w:eastAsia="ja-JP"/>
        </w:rPr>
      </w:pPr>
      <w:r w:rsidRPr="00531357">
        <w:rPr>
          <w:lang w:eastAsia="ja-JP"/>
        </w:rPr>
        <w:drawing>
          <wp:inline distT="0" distB="0" distL="0" distR="0" wp14:anchorId="3419C088" wp14:editId="0B555C8A">
            <wp:extent cx="4884284" cy="2966576"/>
            <wp:effectExtent l="0" t="0" r="5715" b="571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6703" cy="2974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C3E" w:rsidRDefault="00F54C3E" w:rsidP="00F54C3E">
      <w:pPr>
        <w:pStyle w:val="TF"/>
        <w:rPr>
          <w:lang w:eastAsia="ja-JP"/>
        </w:rPr>
      </w:pPr>
      <w:r>
        <w:rPr>
          <w:lang w:eastAsia="ja-JP"/>
        </w:rPr>
        <w:t>Figure X: 5GS with regenerative satellite enabled NR-RAN, with ISL &amp; multiple 5G CN connectivity</w:t>
      </w:r>
    </w:p>
    <w:p w:rsidR="00F54C3E" w:rsidRDefault="00F54C3E" w:rsidP="00E465C4">
      <w:pPr>
        <w:rPr>
          <w:lang w:eastAsia="ja-JP"/>
        </w:rPr>
      </w:pPr>
      <w:bookmarkStart w:id="7" w:name="_GoBack"/>
      <w:bookmarkEnd w:id="7"/>
    </w:p>
    <w:p w:rsidR="00CC7C84" w:rsidRPr="00674DFD" w:rsidRDefault="00CC7C84" w:rsidP="00E465C4">
      <w:pPr>
        <w:rPr>
          <w:lang w:eastAsia="ja-JP"/>
        </w:rPr>
      </w:pP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color w:val="FF0000"/>
          <w:sz w:val="28"/>
          <w:szCs w:val="28"/>
          <w:lang w:val="en-US"/>
        </w:rPr>
        <w:t>End</w:t>
      </w: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 of changes * * * *</w:t>
      </w:r>
    </w:p>
    <w:p w:rsidR="00AF273C" w:rsidRPr="00B43EB1" w:rsidRDefault="00AF273C" w:rsidP="00AF273C"/>
    <w:sectPr w:rsidR="00AF273C" w:rsidRPr="00B43E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D75E4" w:rsidRDefault="008D75E4" w:rsidP="00B43EB1">
      <w:pPr>
        <w:spacing w:after="0"/>
      </w:pPr>
      <w:r>
        <w:separator/>
      </w:r>
    </w:p>
  </w:endnote>
  <w:endnote w:type="continuationSeparator" w:id="0">
    <w:p w:rsidR="008D75E4" w:rsidRDefault="008D75E4" w:rsidP="00B43EB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D75E4" w:rsidRDefault="008D75E4" w:rsidP="00B43EB1">
      <w:pPr>
        <w:spacing w:after="0"/>
      </w:pPr>
      <w:r>
        <w:separator/>
      </w:r>
    </w:p>
  </w:footnote>
  <w:footnote w:type="continuationSeparator" w:id="0">
    <w:p w:rsidR="008D75E4" w:rsidRDefault="008D75E4" w:rsidP="00B43EB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465EA7"/>
    <w:multiLevelType w:val="multilevel"/>
    <w:tmpl w:val="31F291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  <w:sz w:val="28"/>
      </w:rPr>
    </w:lvl>
  </w:abstractNum>
  <w:abstractNum w:abstractNumId="1" w15:restartNumberingAfterBreak="0">
    <w:nsid w:val="12295030"/>
    <w:multiLevelType w:val="hybridMultilevel"/>
    <w:tmpl w:val="ACFA99AE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2DF7088"/>
    <w:multiLevelType w:val="hybridMultilevel"/>
    <w:tmpl w:val="673622B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B87A1B"/>
    <w:multiLevelType w:val="hybridMultilevel"/>
    <w:tmpl w:val="521C6E48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C22923"/>
    <w:multiLevelType w:val="hybridMultilevel"/>
    <w:tmpl w:val="C156AB74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7473F0"/>
    <w:multiLevelType w:val="hybridMultilevel"/>
    <w:tmpl w:val="2D2437FC"/>
    <w:lvl w:ilvl="0" w:tplc="8CC6F936">
      <w:start w:val="1"/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39C63010"/>
    <w:multiLevelType w:val="hybridMultilevel"/>
    <w:tmpl w:val="357E81C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" w15:restartNumberingAfterBreak="0">
    <w:nsid w:val="44040A88"/>
    <w:multiLevelType w:val="hybridMultilevel"/>
    <w:tmpl w:val="4D82C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1914C4"/>
    <w:multiLevelType w:val="hybridMultilevel"/>
    <w:tmpl w:val="B11C2476"/>
    <w:lvl w:ilvl="0" w:tplc="040C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 w15:restartNumberingAfterBreak="0">
    <w:nsid w:val="6ACC512C"/>
    <w:multiLevelType w:val="hybridMultilevel"/>
    <w:tmpl w:val="8DC667A4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4B7A29"/>
    <w:multiLevelType w:val="hybridMultilevel"/>
    <w:tmpl w:val="8794D8F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725D2C98"/>
    <w:multiLevelType w:val="hybridMultilevel"/>
    <w:tmpl w:val="DA22F0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4215858"/>
    <w:multiLevelType w:val="hybridMultilevel"/>
    <w:tmpl w:val="F88E21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F5355C"/>
    <w:multiLevelType w:val="hybridMultilevel"/>
    <w:tmpl w:val="AA8C3B3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5"/>
  </w:num>
  <w:num w:numId="5">
    <w:abstractNumId w:val="8"/>
  </w:num>
  <w:num w:numId="6">
    <w:abstractNumId w:val="2"/>
  </w:num>
  <w:num w:numId="7">
    <w:abstractNumId w:val="9"/>
  </w:num>
  <w:num w:numId="8">
    <w:abstractNumId w:val="13"/>
  </w:num>
  <w:num w:numId="9">
    <w:abstractNumId w:val="11"/>
  </w:num>
  <w:num w:numId="10">
    <w:abstractNumId w:val="10"/>
  </w:num>
  <w:num w:numId="11">
    <w:abstractNumId w:val="1"/>
  </w:num>
  <w:num w:numId="12">
    <w:abstractNumId w:val="3"/>
  </w:num>
  <w:num w:numId="13">
    <w:abstractNumId w:val="4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9"/>
  <w:proofState w:spelling="clean" w:grammar="clean"/>
  <w:trackRevisions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EB1"/>
    <w:rsid w:val="000013A8"/>
    <w:rsid w:val="00051197"/>
    <w:rsid w:val="0005752E"/>
    <w:rsid w:val="00065205"/>
    <w:rsid w:val="000A4B01"/>
    <w:rsid w:val="000B3907"/>
    <w:rsid w:val="000D0B35"/>
    <w:rsid w:val="000F5369"/>
    <w:rsid w:val="00122394"/>
    <w:rsid w:val="00134A40"/>
    <w:rsid w:val="00167533"/>
    <w:rsid w:val="001742F7"/>
    <w:rsid w:val="002600E7"/>
    <w:rsid w:val="00264928"/>
    <w:rsid w:val="00280798"/>
    <w:rsid w:val="002E32DC"/>
    <w:rsid w:val="00365FE1"/>
    <w:rsid w:val="003B63F2"/>
    <w:rsid w:val="00415B81"/>
    <w:rsid w:val="00425747"/>
    <w:rsid w:val="004F41E5"/>
    <w:rsid w:val="00503194"/>
    <w:rsid w:val="005243D6"/>
    <w:rsid w:val="00531357"/>
    <w:rsid w:val="00564671"/>
    <w:rsid w:val="005B5965"/>
    <w:rsid w:val="005D0B17"/>
    <w:rsid w:val="005D18D3"/>
    <w:rsid w:val="005D38BC"/>
    <w:rsid w:val="0062092A"/>
    <w:rsid w:val="00641D85"/>
    <w:rsid w:val="00661B2C"/>
    <w:rsid w:val="00674DFD"/>
    <w:rsid w:val="006C291C"/>
    <w:rsid w:val="00724B3D"/>
    <w:rsid w:val="00741687"/>
    <w:rsid w:val="00760C4A"/>
    <w:rsid w:val="00794DD4"/>
    <w:rsid w:val="007E078C"/>
    <w:rsid w:val="008707D7"/>
    <w:rsid w:val="008A0E0E"/>
    <w:rsid w:val="008A3425"/>
    <w:rsid w:val="008D75E4"/>
    <w:rsid w:val="008E41BF"/>
    <w:rsid w:val="0093765D"/>
    <w:rsid w:val="00951E63"/>
    <w:rsid w:val="00983464"/>
    <w:rsid w:val="009A29F4"/>
    <w:rsid w:val="00AF273C"/>
    <w:rsid w:val="00AF6C64"/>
    <w:rsid w:val="00B0021F"/>
    <w:rsid w:val="00B43EB1"/>
    <w:rsid w:val="00B50D7A"/>
    <w:rsid w:val="00B80DA4"/>
    <w:rsid w:val="00B81FD0"/>
    <w:rsid w:val="00BB488E"/>
    <w:rsid w:val="00BB702F"/>
    <w:rsid w:val="00BC4497"/>
    <w:rsid w:val="00C05BA0"/>
    <w:rsid w:val="00C36680"/>
    <w:rsid w:val="00C70C15"/>
    <w:rsid w:val="00C75A81"/>
    <w:rsid w:val="00C77CF4"/>
    <w:rsid w:val="00C82504"/>
    <w:rsid w:val="00CB67F7"/>
    <w:rsid w:val="00CC7C84"/>
    <w:rsid w:val="00D404B5"/>
    <w:rsid w:val="00D66694"/>
    <w:rsid w:val="00D74208"/>
    <w:rsid w:val="00D97E93"/>
    <w:rsid w:val="00E32730"/>
    <w:rsid w:val="00E465C4"/>
    <w:rsid w:val="00E82309"/>
    <w:rsid w:val="00EC6118"/>
    <w:rsid w:val="00EC73F3"/>
    <w:rsid w:val="00ED4676"/>
    <w:rsid w:val="00F02CB6"/>
    <w:rsid w:val="00F15D7C"/>
    <w:rsid w:val="00F2391E"/>
    <w:rsid w:val="00F27E2C"/>
    <w:rsid w:val="00F54C3E"/>
    <w:rsid w:val="00F72E4A"/>
    <w:rsid w:val="00F85261"/>
    <w:rsid w:val="00FC3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5:docId w15:val="{0C6C364E-F043-584F-B74A-ABE223A9A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tif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517</Words>
  <Characters>2846</Characters>
  <Application>Microsoft Office Word</Application>
  <DocSecurity>0</DocSecurity>
  <Lines>23</Lines>
  <Paragraphs>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3357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Editor</dc:creator>
  <cp:lastModifiedBy>Cyril Michel</cp:lastModifiedBy>
  <cp:revision>51</cp:revision>
  <dcterms:created xsi:type="dcterms:W3CDTF">2018-06-24T15:47:00Z</dcterms:created>
  <dcterms:modified xsi:type="dcterms:W3CDTF">2018-07-02T13:09:00Z</dcterms:modified>
</cp:coreProperties>
</file>